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center"/>
        <w:textAlignment w:val="center"/>
        <w:rPr>
          <w:rFonts w:hint="eastAsia" w:ascii="方正仿宋_GBK" w:hAnsi="方正仿宋_GBK" w:eastAsia="方正仿宋_GBK" w:cs="方正仿宋_GBK"/>
          <w:b/>
          <w:bCs/>
          <w:i w:val="0"/>
          <w:color w:val="000000"/>
          <w:kern w:val="0"/>
          <w:sz w:val="52"/>
          <w:szCs w:val="52"/>
          <w:u w:val="none"/>
          <w:lang w:val="en-US" w:eastAsia="zh-CN" w:bidi="ar"/>
        </w:rPr>
      </w:pPr>
      <w:bookmarkStart w:id="0" w:name="_GoBack"/>
      <w:bookmarkEnd w:id="0"/>
      <w:r>
        <w:rPr>
          <w:rFonts w:hint="eastAsia" w:ascii="方正仿宋_GBK" w:hAnsi="方正仿宋_GBK" w:eastAsia="方正仿宋_GBK" w:cs="方正仿宋_GBK"/>
          <w:b/>
          <w:bCs/>
          <w:i w:val="0"/>
          <w:color w:val="000000"/>
          <w:kern w:val="0"/>
          <w:sz w:val="52"/>
          <w:szCs w:val="52"/>
          <w:u w:val="none"/>
          <w:lang w:val="en-US" w:eastAsia="zh-CN" w:bidi="ar"/>
        </w:rPr>
        <w:t>乌鲁木齐银行人民币理财产品2019年5月投资运作及资产配置公告</w:t>
      </w:r>
    </w:p>
    <w:p>
      <w:pPr>
        <w:keepNext w:val="0"/>
        <w:keepLines w:val="0"/>
        <w:widowControl/>
        <w:suppressLineNumbers w:val="0"/>
        <w:jc w:val="both"/>
        <w:textAlignment w:val="center"/>
        <w:rPr>
          <w:rFonts w:hint="eastAsia" w:ascii="方正仿宋_GBK" w:hAnsi="方正仿宋_GBK" w:eastAsia="方正仿宋_GBK" w:cs="方正仿宋_GBK"/>
          <w:b w:val="0"/>
          <w:bCs w:val="0"/>
          <w:i w:val="0"/>
          <w:color w:val="000000"/>
          <w:kern w:val="0"/>
          <w:sz w:val="30"/>
          <w:szCs w:val="30"/>
          <w:u w:val="none"/>
          <w:lang w:val="en-US" w:eastAsia="zh-CN" w:bidi="ar"/>
        </w:rPr>
      </w:pPr>
      <w:r>
        <w:rPr>
          <w:rFonts w:hint="eastAsia" w:ascii="方正仿宋_GBK" w:hAnsi="方正仿宋_GBK" w:eastAsia="方正仿宋_GBK" w:cs="方正仿宋_GBK"/>
          <w:b w:val="0"/>
          <w:bCs w:val="0"/>
          <w:i w:val="0"/>
          <w:color w:val="000000"/>
          <w:kern w:val="0"/>
          <w:sz w:val="30"/>
          <w:szCs w:val="30"/>
          <w:u w:val="none"/>
          <w:lang w:val="en-US" w:eastAsia="zh-CN" w:bidi="ar"/>
        </w:rPr>
        <w:t>尊敬的客户：</w:t>
      </w:r>
    </w:p>
    <w:p>
      <w:pPr>
        <w:keepNext w:val="0"/>
        <w:keepLines w:val="0"/>
        <w:widowControl/>
        <w:suppressLineNumbers w:val="0"/>
        <w:ind w:firstLine="600" w:firstLineChars="200"/>
        <w:jc w:val="both"/>
        <w:textAlignment w:val="center"/>
        <w:rPr>
          <w:rFonts w:hint="eastAsia" w:ascii="方正仿宋_GBK" w:hAnsi="Arial" w:eastAsia="方正仿宋_GBK"/>
          <w:kern w:val="0"/>
          <w:sz w:val="32"/>
        </w:rPr>
      </w:pPr>
      <w:r>
        <w:rPr>
          <w:rFonts w:hint="eastAsia" w:ascii="方正仿宋_GBK" w:hAnsi="方正仿宋_GBK" w:eastAsia="方正仿宋_GBK" w:cs="方正仿宋_GBK"/>
          <w:b w:val="0"/>
          <w:bCs w:val="0"/>
          <w:i w:val="0"/>
          <w:color w:val="000000"/>
          <w:kern w:val="0"/>
          <w:sz w:val="30"/>
          <w:szCs w:val="30"/>
          <w:u w:val="none"/>
          <w:lang w:val="en-US" w:eastAsia="zh-CN" w:bidi="ar"/>
        </w:rPr>
        <w:t>2019年5月乌鲁木齐银行共发行26期理财产品，保本型理财产品15期，非保本型产品11期，2019年4月共到期26期，其中保本型理财产品16期，非保本型理财产品10期，我行已根据相关约定披露了产品的发行公告、成立公告、资产配置公告及到期公告，详见我行官网</w:t>
      </w:r>
      <w:r>
        <w:rPr>
          <w:rFonts w:hint="eastAsia" w:ascii="方正仿宋_GBK" w:hAnsi="Arial" w:eastAsia="方正仿宋_GBK"/>
          <w:kern w:val="0"/>
          <w:sz w:val="32"/>
        </w:rPr>
        <w:t>（http://www.uccb.com.cn）</w:t>
      </w:r>
    </w:p>
    <w:p>
      <w:pPr>
        <w:keepNext w:val="0"/>
        <w:keepLines w:val="0"/>
        <w:widowControl/>
        <w:suppressLineNumbers w:val="0"/>
        <w:ind w:firstLine="600" w:firstLineChars="200"/>
        <w:jc w:val="both"/>
        <w:textAlignment w:val="cente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截至2019年5月末，我行有146期理财产品处于存续期，其中保本型产品90期，非保本型产品56期，现向广大投资者进行存续期产品资产配置及存续期产品要素的信息披露，资产配置明细如下表：</w:t>
      </w:r>
    </w:p>
    <w:tbl>
      <w:tblPr>
        <w:tblStyle w:val="3"/>
        <w:tblW w:w="7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74"/>
        <w:gridCol w:w="852"/>
        <w:gridCol w:w="1465"/>
        <w:gridCol w:w="1833"/>
        <w:gridCol w:w="1133"/>
        <w:gridCol w:w="711"/>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产品代码</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投资金额</w:t>
            </w:r>
            <w:r>
              <w:rPr>
                <w:rFonts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元</w:t>
            </w:r>
            <w:r>
              <w:rPr>
                <w:rFonts w:ascii="Arial" w:hAnsi="Arial" w:eastAsia="宋体" w:cs="Arial"/>
                <w:i w:val="0"/>
                <w:color w:val="000000"/>
                <w:kern w:val="0"/>
                <w:sz w:val="20"/>
                <w:szCs w:val="20"/>
                <w:u w:val="none"/>
                <w:lang w:val="en-US" w:eastAsia="zh-CN" w:bidi="ar"/>
              </w:rPr>
              <w:t>)</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资产名称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交易结构</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资产剩余期限（天）</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付息频率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金雪莲2019年第69期新客户专享版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20,720,000.00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17,870,000.00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14,544,000.00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金雪莲2019年第36期新客户专享版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金雪莲2019年第36期新客户专享版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9,740,000.00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19,860,000.00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金雪莲2019年第66期新客专享版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16,720,000.00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52,420,000.00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17,390,000.00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23,200,000.00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金雪莲2019年第36期新客户专享版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19,210,000.00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7,140,000.00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43,120,000.00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18,710,000.00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24,610,000.00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54,860,000.00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13,580,000.00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32,550,000.00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金雪莲2019年第88期新客户专享</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43,300,000.00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17,520,000.00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15,210,000.00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12,210,000.00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11,295,000.00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6,715,000.00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5,654,000.00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659,000.00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21,790,000.00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19,940,000.00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20,985,500.00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75,546,000.00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26,346,000.00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671,000.00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15,894,000.00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21,798,000.00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11,096,000.00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17,024,000.00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63,954,000.00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55,592,720.00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5,720,000.00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87,776,436.79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47,802,850.58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45,744,048.68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41,077,701.15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3,064,827.59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16,590,000.00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8,562,000.00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694,513.25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311,101.58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243,836.37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466,667.52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79,990,000.00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81,750,000.00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18,437,728.31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3,400,065.99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2,438,031.31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1,253,870.56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1,006,175.13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103,538.81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14,944,176.24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2,322,352.79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1,666,581.83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5,369,335.03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3,249,256.35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2,759,993.11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1,653,878.17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135,396.91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25,960,000.00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10,200,000.00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15,220,000.00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44,710,000.00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276,000.00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46,630,000.00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19,020,000.00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7,140,000.00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1,159,000.00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3,821,000.00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6,530,000.00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17,890,000.00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31,350,000.00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2,510,100.00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79,900.00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40,420,000.00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25,450,000.00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37,150,000.00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25,360,000.00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13,770,000.00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26,660,000.00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11,040,000.00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44,750,000.00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16,550,000.00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23,400,000.00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85,831,000.00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7,739,000.00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26,610,000.00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19,710,000.00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22,170,000.00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9,710,000.00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20,490,000.00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28,930,000.00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14,300,000.00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15,250,000.00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10,520,000.00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13,880,000.00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423,000.00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361,000.00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9,630,000.00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19,980,000.00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59,940,000.00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13,330,000.00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27,650,000.00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利随本清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34,019,500.00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178,000,000.00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23,076,000.00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85,500,000.00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19,380,000.00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49,697,800.00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2,448,000.00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20,970,000.00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81,278,000.00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100,355,000.00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9,768,000.00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49,691,200.00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44,107,280.00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16,640,000.00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45,517,256.26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7,774,712.64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27,586,206.90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15,540,000.00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14,735,959.44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152,440,000.00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6,240,000.00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1,438,000.00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715</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8,408.15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1,389,181.85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929,100.65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958,529.18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9,337,376.98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100,897.81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4,241,423.28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5,348,424.65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3,084,109.67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338,611.92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227,020.07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1,921,550.48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28,660,000.00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16,600,000.00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320,000.00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6,730,000.00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13,560,000.00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7,960,000.00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11,990,000.00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金雪莲2019年第26期新年专享版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6,700,000.00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1,090,000.00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1,237,374.68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856,956.20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2,965,490.08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358,363.50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3,347,176.66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3,222,619.54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3,316,218.27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12,081,015.28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4,065,855.35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15,133,595.07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13,919,127.81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1,098,484.77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13,646,993.57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4,951,759.40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5,027,004.21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9,432,692.64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193,850.25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77,905.11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940,737.34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2,062,347.72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1,614,004.67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537,857.06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3,693,704.90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2,612,978.10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9,038,366.67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1,505,413.71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6,361,371.65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2,889,286.80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2,369,276.65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7,299,095.78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1,588,492.39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138,464.47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720,015.23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1,700,486.40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720,015.23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1,015,406.09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4,223,191.92 </w:t>
            </w:r>
          </w:p>
        </w:tc>
        <w:tc>
          <w:tcPr>
            <w:tcW w:w="183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货币市场工具和固定收益类资产等各类标准化债权资产</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86,749,000.00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金雪莲2019年第35期新客户专享版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24,350,000.00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14,400,000.00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金雪莲2019年第36期新客户专享版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46,238,000.00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39,970,000.00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21,740,000.00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31,570,000.00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102,950,000.00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金雪莲2019年第65期水区代发专享</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金雪莲2019年第66期新客专享版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68,310,000.00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129,175,000.00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29,030,000.00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24,030,000.00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43,998,601.00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5,512,648.10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613,717.08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26,699,419.40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392,999.99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11,525,386.54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35,067,063.41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654,000.00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3,708,000.00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58,642.10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50,516,400.00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18,835.96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24,406,470.00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24,964,500.00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15,460,800.00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46,201,600.00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20,827,200.00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734,400.00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4,507,200.00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56,364,250.00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49,770,000.00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13,987,500.00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13,710,000.00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26,397,500.00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35,425,000.00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18,525,000.00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18,007,500.00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金雪莲2019年第65期水区代发专享</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金雪莲2019年第66期新客专享版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3,097,500.00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4,335,000.00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3,495,000.00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8,392,500.00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7,357,500.00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3,547,500.00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39,297,500.00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87,850,500.00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金雪莲2019年第88期新客户专享</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29,500,000.00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280,043.34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10,736,470.59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1,727,510.83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金雪莲2019年第37期新客户专享版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2,837,058.82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734,117.65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34,633,529.41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4,037,647.06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7,761,764.71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168,235.29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7,425,294.12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5,674,117.65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183,529.41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金雪莲2019年第68期新客户专享版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8,231,455.10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9,352,352.95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405,294.12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168,235.29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2,714,705.88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2,951,764.71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1,575,294.12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342,547,000.00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金雪莲私人银行2018年第10期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S18010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6,638,000.00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13,230,000.00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67,350,000.00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42,610,000.00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63,020,000.00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14,490,000.00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58,230,000.00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34,510,000.00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64,680,000.00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41,890,000.00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金雪莲2019年第26期新年专享版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35,970,000.00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53,900,000.00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22,363,000.00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金雪莲2019年第34期新客户专享版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国君资管1245定向资产管理计划-03</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高净值理财产品2018年第1期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申万宏源证券-乌鲁木齐1号定向资产管理合同第1期（171020-221020）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19,218,654.42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27,860,000.00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8,787,000.00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670,000.00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2,280,000.00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6,140,000.00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820,000.00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巴州震纶股权收益权投资单一信托合同第2期</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40,174,120.58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2,223,949.47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国君资管1245定向资产管理计划-0501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7,896,000.00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4,800,000.00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696,000.00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762,000.00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834,000.00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636,000.00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2,550,000.00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国君资管1219定向资产管理计划-02</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28,793,231.94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48,558,400.00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18,483,520.00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安信蓝天3号新能源产业投资集合资金信托计划（161228-181226）</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105,046,400.00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11,366,400.00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5,856,000.00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安信创赢114号中民香山文化信托贷款集合资金信托计划（170920-180920）</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136,594,500.00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金雪莲私人银行2018年第10期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S18010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37,507,500.00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9,952,500.00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16,305,000.00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1,837,500.00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772,500.00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36,600,750.00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44,775,000.00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100,815,000.00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50,560,000.00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金雪莲2019年第26期新年专享版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7,282,500.00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49,665,000.00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21,405,000.00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国君资管1245定向资产管理计划-01</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3,479,411.77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267,647.06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456,006.19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1,191,331.27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680,588.24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9,228,390.10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8,671,764.71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267,647.06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764,705.88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5,254,736.84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1,093,529.41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2,179,411.76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3,825,139.32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382,352.94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2,216,842.11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435,882.35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428,235.29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2,198,730.65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405,294.12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244,705.88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565,882.35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175,882.35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145,294.12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619,411.76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11,586,099.07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1,131,764.71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1,896,470.59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金雪莲2018年第226期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C18226</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4,805,170.28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581,176.47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504,705.88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9,237,647.06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1,284,705.88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1,009,411.76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2,332,352.94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2,872,074.30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2,500,588.24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金雪莲2019年第41期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C19041</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3,532,941.18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527,647.06 </w:t>
            </w:r>
          </w:p>
        </w:tc>
        <w:tc>
          <w:tcPr>
            <w:tcW w:w="18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华融新疆其亚股权收益权集合资金信托计划</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非标准化资产</w:t>
            </w:r>
          </w:p>
        </w:tc>
        <w:tc>
          <w:tcPr>
            <w:tcW w:w="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4次</w:t>
            </w:r>
          </w:p>
        </w:tc>
      </w:tr>
    </w:tbl>
    <w:p>
      <w:pPr>
        <w:keepNext w:val="0"/>
        <w:keepLines w:val="0"/>
        <w:widowControl/>
        <w:suppressLineNumbers w:val="0"/>
        <w:jc w:val="left"/>
        <w:textAlignment w:val="cente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存续期产品要素明细表如下：</w:t>
      </w:r>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68"/>
        <w:gridCol w:w="835"/>
        <w:gridCol w:w="1169"/>
        <w:gridCol w:w="1055"/>
        <w:gridCol w:w="1055"/>
        <w:gridCol w:w="931"/>
        <w:gridCol w:w="825"/>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产品名称</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产品代码</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存量(万)</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起息日</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到期日</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期限（天）</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预期收益率(%)</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收益类型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金雪莲2019年第88期新客户专享</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19,789.90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19,988.70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1,698.70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6,442.70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银企通2019年第31期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D19031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金雪莲2019年第87期新客户专享版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2,998.70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7,996.20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C19091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2019-05-21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1,959.30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19,482.80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19,996.20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2019-11-12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金雪莲2019年第69期新客户专享版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2,154.50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26,931.40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2019-10-29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C19081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10,257.20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2019-05-06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2019-04-30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保证收益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金雪莲2019年第68期新客户专享版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3,138.60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2020-04-24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8,736.10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金雪莲2019年第67期新客户专享版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2019-07-30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17,127.10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2019-07-30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2019-10-22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1,453.10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3.92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7,667.70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2019-08-16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金镶玉聚盈2019年第1期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JY19001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金雪莲2019年第66期新客专享版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2019-07-23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金雪莲2019年第70期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18,301.90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金雪莲2019年71期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C19071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13,978.80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2019-04-16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1,216.10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6,413.50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12,779.00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6,016.50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金雪莲2019年第65期水区代发专享</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996.40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金雪莲2019年第38期新客户专享版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2,912.00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951.60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8,702.00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9,999.20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金雪莲2019年第60期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C19060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8,928.30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2019-10-14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银企通2019年第20期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D19020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2,362.50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9,999.90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金雪莲2019年第37期新客户专享版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2,999.60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14,999.40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1,494.80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5,879.70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2019-03-20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金雪莲2019年第36期新客户专享版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2,999.50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19,998.00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C19052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3,828.20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2020-03-13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14,997.60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金雪莲2019年第35期新客户专享版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920.20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金雪莲2019年第34期新客户专享版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704.60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2020-02-28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14,999.60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14,999.00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2019-12-16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银企通2019年第14期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D19014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3.20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C19040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14,996.70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2,412.70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2020-02-21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9,491.60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2019-02-21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C19030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金雪莲2019年第26期新年专享版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1,348.50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2020-02-14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4,149.40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2019-02-12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2,891.40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2019-01-31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2020-02-07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2019-01-31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C19020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18,568.30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2019-07-30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银企通2019年第4期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D19004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2019-07-29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2,597.70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2019-01-25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3.97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15,891.10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2019-01-22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2019-07-23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2,555.60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2019-01-18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金雪莲2019年第12期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C19012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12,483.50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2019-01-15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2019-01-11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2020-01-07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15,842.50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3,194.80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2019-01-04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4.08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8,529.90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2019-01-03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金雪莲2019年第3期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4,998.40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2019-01-03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金雪莲2019年第4期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C19004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2019-01-03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2019-12-24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4,999.10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2018-12-27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4.09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2018-12-25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2,696.80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2018-12-20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金雪莲2018年第229期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9,997.00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2018-12-18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金雪莲2018年第230期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C18230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2018-12-18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3,414.90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2019-12-13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金雪莲2018年第225期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C18225</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9,997.20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2018-12-11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3,005.30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2018-12-07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金雪莲2018年第221期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C18221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9,997.70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2018-12-04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4.56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3,551.20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2018-11-30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2019-11-29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4,422.30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2018-11-23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2019-11-22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金雪莲2018年第210期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C18210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4,635.40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2018-11-16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2019-11-15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银企通2018年第130期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D18130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2018-11-16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5,594.90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4.24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金雪莲2018年第202期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C18202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4,307.70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2018-11-02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6,892.50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2018-10-26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2019-10-25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金雪莲2018年第192期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C18192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7,420.20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2018-10-19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金雪莲2018年第187期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2,796.00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2018-10-09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2019-10-11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金雪莲2018年第182期特别稳专享版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C18182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4,868.10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2018-09-28</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2019-09-27</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金雪莲2018年第178期特别稳专享版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4,111.20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2018-09-21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4.59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金雪莲2018年第173期特别稳专享版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C18173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4,995.90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银企通2018年第121期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D18121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2019-09-18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金雪莲2018年第169期特别稳专享版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C18169</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4,997.10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2018-09-07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金雪莲私人银行2018年第10期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S18010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650.00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2018-09-04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金雪莲2018年第164期特别稳专享版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9,548.20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2018-08-29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2019-08-30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银企通2018年第114期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D18114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2018-08-29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2019-09-03</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金雪莲2018年第160期特别稳专享版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C18160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4,716.20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2018-08-17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2019-08-20</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金雪莲2018年第156期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C18156</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4,390.30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2018-08-10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4.69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金雪莲2018年第151期特别稳专享版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C18151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3,343.10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2018-08-03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2019-08-02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4.68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金雪莲2018年第147期特别稳专享版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4,902.00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2018-07-27</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2019-07-26</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金雪莲2018年第141期特别稳专享版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C18141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2018-07-20</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2019-07-19</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金雪莲2018年第137期特别稳专享版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C18137</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4,763.70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2018-07-13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2019-07-12</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金雪莲2018年第132期特别稳专享版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C18132</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4,989.70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2018-07-06</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2019-07-05</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金雪莲2018年第128期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5,895.10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2018-06-29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金雪莲2018年第123期特别稳专享版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C18123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9,958.60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2018-06-22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高净值理财产品2018年第1期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G18001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2,000.00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2018-06-13</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2023-06-14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7.00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金雪莲2018年第118期特别稳专享版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C18118</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6,689.60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2018-06-12</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2019-06-11</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金雪莲2018年第114期特别稳专享版</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C18114</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9,830.60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2018-06-05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2019-06-04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4.74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2,264.00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2018-05-11</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2020-05-08</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728</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5.15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金雪莲2018年第110期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C18110</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959.30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2018-05-04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2021-05-04</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5.33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金雪莲安居宝35天理财产品2018年第1期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H18001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173,998.90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2018-01-05</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无固定期限</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4.68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雪莲宝2号(开放式，T+0)</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R16001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19,092.00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2016-04-14</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无固定期限</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3.05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保本浮动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金雪莲·雪莲宝系列2015年第1期</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R15001</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117,173.30 </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2015-10-09</w:t>
            </w:r>
          </w:p>
        </w:tc>
        <w:tc>
          <w:tcPr>
            <w:tcW w:w="1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无固定期限</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3.80 </w:t>
            </w: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非保本浮动</w:t>
            </w:r>
          </w:p>
        </w:tc>
      </w:tr>
    </w:tbl>
    <w:p>
      <w:pP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乌鲁木齐银行理财产品投资运作分析：</w:t>
      </w:r>
    </w:p>
    <w:p>
      <w:pP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 xml:space="preserve">    我行理财产品所配置的债券资产资产良好、流动性和偿付能力强。我行理财产品所配置的债券类及其它类资产均经过我行风险严格审核，符合监管的相关要求。</w:t>
      </w:r>
    </w:p>
    <w:p>
      <w:pP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 xml:space="preserve">    截至2019年5月末，我行有146期理财产品处于存续期，各项资产运作正常，风险可控。</w:t>
      </w:r>
    </w:p>
    <w:p>
      <w:pP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 xml:space="preserve">    感谢您投资乌鲁木齐银行理财产品，敬请继续关注我行近期发行的其他理财产品。</w:t>
      </w:r>
    </w:p>
    <w:p>
      <w:pPr>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 xml:space="preserve">    此公告上未尽事宜，请以产品协议书为准！</w:t>
      </w:r>
    </w:p>
    <w:p>
      <w:pPr>
        <w:rPr>
          <w:rFonts w:hint="eastAsia"/>
          <w:sz w:val="30"/>
          <w:szCs w:val="30"/>
          <w:lang w:val="en-US" w:eastAsia="zh-CN"/>
        </w:rPr>
      </w:pPr>
      <w:r>
        <w:rPr>
          <w:rFonts w:hint="eastAsia" w:ascii="方正仿宋_GBK" w:hAnsi="Arial" w:eastAsia="方正仿宋_GBK"/>
          <w:kern w:val="0"/>
          <w:sz w:val="32"/>
          <w:lang w:val="en-US" w:eastAsia="zh-CN"/>
        </w:rPr>
        <w:t xml:space="preserve">    特此公告</w:t>
      </w:r>
    </w:p>
    <w:p>
      <w:pPr>
        <w:jc w:val="right"/>
        <w:rPr>
          <w:rFonts w:hint="eastAsia" w:ascii="方正仿宋_GBK" w:hAnsi="Arial" w:eastAsia="方正仿宋_GBK"/>
          <w:kern w:val="0"/>
          <w:sz w:val="32"/>
          <w:lang w:val="en-US" w:eastAsia="zh-CN"/>
        </w:rPr>
      </w:pPr>
      <w:r>
        <w:rPr>
          <w:rFonts w:hint="eastAsia"/>
          <w:sz w:val="30"/>
          <w:szCs w:val="30"/>
          <w:lang w:val="en-US" w:eastAsia="zh-CN"/>
        </w:rPr>
        <w:t xml:space="preserve">                                                       </w:t>
      </w:r>
      <w:r>
        <w:rPr>
          <w:rFonts w:hint="eastAsia" w:ascii="方正仿宋_GBK" w:hAnsi="Arial" w:eastAsia="方正仿宋_GBK"/>
          <w:kern w:val="0"/>
          <w:sz w:val="32"/>
          <w:lang w:val="en-US" w:eastAsia="zh-CN"/>
        </w:rPr>
        <w:t xml:space="preserve">乌鲁木齐银行股份有限公司 </w:t>
      </w:r>
    </w:p>
    <w:p>
      <w:pPr>
        <w:jc w:val="right"/>
        <w:rPr>
          <w:rFonts w:hint="eastAsia" w:ascii="方正仿宋_GBK" w:hAnsi="Arial" w:eastAsia="方正仿宋_GBK"/>
          <w:kern w:val="0"/>
          <w:sz w:val="32"/>
          <w:lang w:val="en-US" w:eastAsia="zh-CN"/>
        </w:rPr>
      </w:pPr>
      <w:r>
        <w:rPr>
          <w:rFonts w:hint="eastAsia" w:ascii="方正仿宋_GBK" w:hAnsi="Arial" w:eastAsia="方正仿宋_GBK"/>
          <w:kern w:val="0"/>
          <w:sz w:val="32"/>
          <w:lang w:val="en-US" w:eastAsia="zh-CN"/>
        </w:rPr>
        <w:t xml:space="preserve">                                 2019年06月04日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9763D"/>
    <w:rsid w:val="0DDD7FBC"/>
    <w:rsid w:val="103D1099"/>
    <w:rsid w:val="13DE07CD"/>
    <w:rsid w:val="147102D3"/>
    <w:rsid w:val="1AC36ED1"/>
    <w:rsid w:val="1DE94821"/>
    <w:rsid w:val="1EFE796B"/>
    <w:rsid w:val="23913030"/>
    <w:rsid w:val="2464159B"/>
    <w:rsid w:val="24A952A2"/>
    <w:rsid w:val="2613443F"/>
    <w:rsid w:val="261A5660"/>
    <w:rsid w:val="26D87897"/>
    <w:rsid w:val="2BF13B3A"/>
    <w:rsid w:val="2E137D01"/>
    <w:rsid w:val="31A6530E"/>
    <w:rsid w:val="32E93B15"/>
    <w:rsid w:val="44EF618F"/>
    <w:rsid w:val="4A2E546B"/>
    <w:rsid w:val="4F955F9D"/>
    <w:rsid w:val="5F5D1C08"/>
    <w:rsid w:val="60D96CEE"/>
    <w:rsid w:val="642A5823"/>
    <w:rsid w:val="71B91CE9"/>
    <w:rsid w:val="73F9658B"/>
    <w:rsid w:val="75D00657"/>
    <w:rsid w:val="76686F7A"/>
    <w:rsid w:val="783F1585"/>
    <w:rsid w:val="78D006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character" w:customStyle="1" w:styleId="4">
    <w:name w:val="font11"/>
    <w:basedOn w:val="2"/>
    <w:uiPriority w:val="0"/>
    <w:rPr>
      <w:rFonts w:hint="eastAsia" w:ascii="宋体" w:hAnsi="宋体" w:eastAsia="宋体" w:cs="宋体"/>
      <w:color w:val="000000"/>
      <w:sz w:val="20"/>
      <w:szCs w:val="20"/>
      <w:u w:val="none"/>
    </w:rPr>
  </w:style>
  <w:style w:type="character" w:customStyle="1" w:styleId="5">
    <w:name w:val="font01"/>
    <w:basedOn w:val="2"/>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2019-06-18T10:02:38Z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